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color w:val="222222"/>
          <w:sz w:val="26"/>
          <w:szCs w:val="26"/>
        </w:rPr>
      </w:pPr>
      <w:bookmarkStart w:colFirst="0" w:colLast="0" w:name="_vuqfv3nt117a" w:id="0"/>
      <w:bookmarkEnd w:id="0"/>
      <w:r w:rsidDel="00000000" w:rsidR="00000000" w:rsidRPr="00000000">
        <w:rPr>
          <w:b w:val="1"/>
          <w:bCs w:val="1"/>
          <w:color w:val="222222"/>
          <w:sz w:val="26"/>
          <w:szCs w:val="26"/>
          <w:rtl w:val="0"/>
        </w:rPr>
        <w:t xml:space="preserve">Nichola Lauder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Co-Founder | Psychotherapist | Mental Health &amp; Trauma Specialist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Nichola is an experienced psychotherapist, clinical supervisor, tutor and mental health leader with over 15 years’ experience in counselling, mental health and community wellbeing.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Her specialist interests include trauma, complex mental health needs, racial trauma, health inequalities and culturally responsive therapeutic approaches. She is passionate about anti-racist practice, inclusion and equitable access to high-quality mental health support.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Her professional background spans therapeutic practice, clinical supervision, teaching, service development and strategic leadership, supporting individuals and communities with diverse needs.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As a co-founder of The Counselling Corner, Nichola is passionate about nurturing the next generation of counsellors. Drawing on her own placement experiences, she believes trainees deserve a rich, well-rounded learning environment that promotes professionalism, reflective practice, clinical confidence and continuous development.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She is committed to creating a welcoming, inclusive space where clients feel heard, understood and value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